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0809" w14:textId="1B7F860F" w:rsidR="007C19DB" w:rsidRPr="007C19DB" w:rsidRDefault="007C19DB" w:rsidP="007C19DB">
      <w:pPr>
        <w:spacing w:after="0" w:line="240" w:lineRule="auto"/>
        <w:rPr>
          <w:rFonts w:ascii="Open Sans Extrabold" w:hAnsi="Open Sans Extrabold"/>
          <w:b/>
          <w:bCs/>
          <w:w w:val="90"/>
          <w:sz w:val="36"/>
        </w:rPr>
      </w:pPr>
      <w:r>
        <w:rPr>
          <w:rFonts w:ascii="Open Sans Extrabold" w:hAnsi="Open Sans Extrabold"/>
          <w:b/>
          <w:bCs/>
          <w:noProof/>
          <w:w w:val="90"/>
          <w:sz w:val="36"/>
          <w:lang w:val="en-US"/>
        </w:rPr>
        <w:drawing>
          <wp:anchor distT="0" distB="0" distL="114300" distR="114300" simplePos="0" relativeHeight="251658240" behindDoc="0" locked="0" layoutInCell="1" allowOverlap="1" wp14:anchorId="13DDE797" wp14:editId="38C40054">
            <wp:simplePos x="0" y="0"/>
            <wp:positionH relativeFrom="column">
              <wp:posOffset>4737735</wp:posOffset>
            </wp:positionH>
            <wp:positionV relativeFrom="paragraph">
              <wp:posOffset>116840</wp:posOffset>
            </wp:positionV>
            <wp:extent cx="647065" cy="80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 col logo VS border.jpg"/>
                    <pic:cNvPicPr/>
                  </pic:nvPicPr>
                  <pic:blipFill>
                    <a:blip r:embed="rId4">
                      <a:extLst>
                        <a:ext uri="{28A0092B-C50C-407E-A947-70E740481C1C}">
                          <a14:useLocalDpi xmlns:a14="http://schemas.microsoft.com/office/drawing/2010/main" val="0"/>
                        </a:ext>
                      </a:extLst>
                    </a:blip>
                    <a:stretch>
                      <a:fillRect/>
                    </a:stretch>
                  </pic:blipFill>
                  <pic:spPr>
                    <a:xfrm>
                      <a:off x="0" y="0"/>
                      <a:ext cx="647065" cy="802640"/>
                    </a:xfrm>
                    <a:prstGeom prst="rect">
                      <a:avLst/>
                    </a:prstGeom>
                  </pic:spPr>
                </pic:pic>
              </a:graphicData>
            </a:graphic>
            <wp14:sizeRelH relativeFrom="page">
              <wp14:pctWidth>0</wp14:pctWidth>
            </wp14:sizeRelH>
            <wp14:sizeRelV relativeFrom="page">
              <wp14:pctHeight>0</wp14:pctHeight>
            </wp14:sizeRelV>
          </wp:anchor>
        </w:drawing>
      </w:r>
      <w:r w:rsidR="00816E05" w:rsidRPr="00816E05">
        <w:rPr>
          <w:rFonts w:ascii="Open Sans Extrabold" w:hAnsi="Open Sans Extrabold"/>
          <w:b/>
          <w:bCs/>
          <w:noProof/>
          <w:w w:val="90"/>
          <w:sz w:val="36"/>
          <w:lang w:val="en-US"/>
        </w:rPr>
        <w:t>Tracking migration</w:t>
      </w:r>
      <w:r w:rsidRPr="007C19DB">
        <w:rPr>
          <w:rFonts w:ascii="Open Sans Extrabold" w:hAnsi="Open Sans Extrabold"/>
          <w:b/>
          <w:bCs/>
          <w:w w:val="90"/>
          <w:sz w:val="36"/>
        </w:rPr>
        <w:t>:</w:t>
      </w:r>
    </w:p>
    <w:p w14:paraId="3AAFC03D" w14:textId="16E5F4AA" w:rsidR="00403A20" w:rsidRPr="004D7E00" w:rsidRDefault="00816E05" w:rsidP="007C19DB">
      <w:pPr>
        <w:spacing w:after="0" w:line="240" w:lineRule="auto"/>
        <w:rPr>
          <w:rFonts w:ascii="Arial Black" w:hAnsi="Arial Black"/>
          <w:b/>
          <w:bCs/>
          <w:w w:val="90"/>
        </w:rPr>
      </w:pPr>
      <w:r w:rsidRPr="00D64819">
        <w:rPr>
          <w:rFonts w:ascii="Open Sans Light" w:hAnsi="Open Sans Light"/>
          <w:w w:val="90"/>
          <w:sz w:val="36"/>
        </w:rPr>
        <w:t xml:space="preserve">drivers, challenges and consequences of </w:t>
      </w:r>
      <w:r w:rsidR="00D64819" w:rsidRPr="00D64819">
        <w:rPr>
          <w:rFonts w:ascii="Open Sans Light" w:hAnsi="Open Sans Light"/>
          <w:w w:val="90"/>
          <w:sz w:val="36"/>
        </w:rPr>
        <w:br/>
      </w:r>
      <w:r w:rsidRPr="00D64819">
        <w:rPr>
          <w:rFonts w:ascii="Open Sans Light" w:hAnsi="Open Sans Light"/>
          <w:w w:val="90"/>
          <w:sz w:val="36"/>
        </w:rPr>
        <w:t>seasonal movements</w:t>
      </w:r>
      <w:r w:rsidR="00403A20" w:rsidRPr="00D64819">
        <w:rPr>
          <w:rFonts w:ascii="Open Sans Light" w:hAnsi="Open Sans Light"/>
          <w:w w:val="90"/>
          <w:sz w:val="36"/>
        </w:rPr>
        <w:br/>
      </w:r>
      <w:r>
        <w:rPr>
          <w:w w:val="90"/>
        </w:rPr>
        <w:t>26</w:t>
      </w:r>
      <w:r w:rsidR="007C19DB">
        <w:rPr>
          <w:w w:val="90"/>
        </w:rPr>
        <w:t xml:space="preserve"> – 2</w:t>
      </w:r>
      <w:r>
        <w:rPr>
          <w:w w:val="90"/>
        </w:rPr>
        <w:t>8</w:t>
      </w:r>
      <w:r w:rsidR="007C19DB">
        <w:rPr>
          <w:w w:val="90"/>
        </w:rPr>
        <w:t xml:space="preserve"> March 201</w:t>
      </w:r>
      <w:r>
        <w:rPr>
          <w:w w:val="90"/>
        </w:rPr>
        <w:t>9</w:t>
      </w:r>
      <w:r w:rsidR="00403A20">
        <w:rPr>
          <w:w w:val="90"/>
        </w:rPr>
        <w:t xml:space="preserve"> | University of </w:t>
      </w:r>
      <w:r>
        <w:rPr>
          <w:w w:val="90"/>
        </w:rPr>
        <w:t>Warwick</w:t>
      </w:r>
      <w:r w:rsidR="00403A20">
        <w:rPr>
          <w:w w:val="90"/>
        </w:rPr>
        <w:t>, UK | #BOU201</w:t>
      </w:r>
      <w:r>
        <w:rPr>
          <w:w w:val="90"/>
        </w:rPr>
        <w:t>9</w:t>
      </w:r>
    </w:p>
    <w:p w14:paraId="036EAAD2" w14:textId="77777777" w:rsidR="00403A20" w:rsidRDefault="00FC646B"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t">
            <v:imagedata r:id="rId5"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6" w:history="1">
        <w:r w:rsidRPr="00DE6824">
          <w:rPr>
            <w:rStyle w:val="Hyperlink"/>
            <w:w w:val="90"/>
          </w:rPr>
          <w:t>stevedudley@bou.org.uk</w:t>
        </w:r>
      </w:hyperlink>
      <w:r>
        <w:rPr>
          <w:w w:val="90"/>
        </w:rPr>
        <w:t xml:space="preserve"> </w:t>
      </w:r>
    </w:p>
    <w:p w14:paraId="741E1F99" w14:textId="14FCE48F" w:rsidR="005D3EBF" w:rsidRPr="00955745" w:rsidRDefault="007C19DB" w:rsidP="00403A20">
      <w:pPr>
        <w:rPr>
          <w:w w:val="90"/>
          <w:sz w:val="17"/>
          <w:szCs w:val="17"/>
        </w:rPr>
      </w:pPr>
      <w:r w:rsidRPr="007C19DB">
        <w:rPr>
          <w:b/>
          <w:w w:val="90"/>
        </w:rPr>
        <w:t>Deadlines</w:t>
      </w:r>
      <w:r w:rsidRPr="007C19DB">
        <w:rPr>
          <w:b/>
          <w:w w:val="90"/>
        </w:rPr>
        <w:br/>
      </w:r>
      <w:r>
        <w:rPr>
          <w:w w:val="90"/>
        </w:rPr>
        <w:t>Oral</w:t>
      </w:r>
      <w:r w:rsidR="00403A20">
        <w:rPr>
          <w:w w:val="90"/>
        </w:rPr>
        <w:t xml:space="preserve"> submissions: </w:t>
      </w:r>
      <w:r w:rsidR="008A738B">
        <w:rPr>
          <w:w w:val="90"/>
        </w:rPr>
        <w:t>30 September</w:t>
      </w:r>
      <w:r w:rsidR="00403A20">
        <w:rPr>
          <w:w w:val="90"/>
        </w:rPr>
        <w:t xml:space="preserve"> 201</w:t>
      </w:r>
      <w:r w:rsidR="005D3EBF">
        <w:rPr>
          <w:w w:val="90"/>
        </w:rPr>
        <w:t>8</w:t>
      </w:r>
      <w:r>
        <w:rPr>
          <w:w w:val="90"/>
        </w:rPr>
        <w:br/>
        <w:t xml:space="preserve">Poster submissions: 30 </w:t>
      </w:r>
      <w:r w:rsidR="005D3EBF">
        <w:rPr>
          <w:w w:val="90"/>
        </w:rPr>
        <w:t>October 2018</w:t>
      </w:r>
      <w:r w:rsidR="005D3EBF">
        <w:rPr>
          <w:w w:val="90"/>
        </w:rPr>
        <w:br/>
      </w:r>
      <w:r w:rsidR="005D3EBF" w:rsidRPr="00955745">
        <w:rPr>
          <w:w w:val="90"/>
          <w:sz w:val="17"/>
          <w:szCs w:val="17"/>
        </w:rPr>
        <w:t>Note: the early submission date for posters is to ensure that accepted authors have time to take advantage of early bird conference rates including early-career researcher places which book up very quickly for our conferences. So submit early! We'll continue to take submissions after 30 October if any places remain, which will be allocated on first come first served basis.</w:t>
      </w:r>
    </w:p>
    <w:p w14:paraId="45A3D6DD" w14:textId="77777777" w:rsidR="00403A20" w:rsidRDefault="00FC646B" w:rsidP="00403A20">
      <w:pPr>
        <w:rPr>
          <w:w w:val="90"/>
        </w:rPr>
      </w:pPr>
      <w:r>
        <w:rPr>
          <w:w w:val="90"/>
        </w:rPr>
        <w:pict w14:anchorId="485D3464">
          <v:shape id="_x0000_i1026" type="#_x0000_t75" style="width:481.55pt;height:1.55pt" o:hrpct="0" o:hr="t">
            <v:imagedata r:id="rId5" o:title="Default Line"/>
          </v:shape>
        </w:pict>
      </w:r>
    </w:p>
    <w:p w14:paraId="69B0229E" w14:textId="3A3B7AE2" w:rsidR="008366EF" w:rsidRPr="00816E05" w:rsidRDefault="008366EF" w:rsidP="008366EF">
      <w:pPr>
        <w:rPr>
          <w:rFonts w:ascii="Calibri Light" w:hAnsi="Calibri Light"/>
          <w:w w:val="90"/>
        </w:rPr>
      </w:pPr>
      <w:r>
        <w:rPr>
          <w:w w:val="90"/>
        </w:rPr>
        <w:t>TYP</w:t>
      </w:r>
      <w:r w:rsidR="007C19DB">
        <w:rPr>
          <w:w w:val="90"/>
        </w:rPr>
        <w:t xml:space="preserve">E: ORAL / POSTER </w:t>
      </w:r>
      <w:r w:rsidR="00816E05">
        <w:rPr>
          <w:w w:val="90"/>
        </w:rPr>
        <w:tab/>
      </w:r>
      <w:r w:rsidR="00816E05">
        <w:rPr>
          <w:w w:val="90"/>
        </w:rPr>
        <w:tab/>
      </w:r>
      <w:r w:rsidR="00D64819">
        <w:rPr>
          <w:w w:val="90"/>
        </w:rPr>
        <w:tab/>
      </w:r>
      <w:r w:rsidR="00D64819">
        <w:rPr>
          <w:w w:val="90"/>
        </w:rPr>
        <w:tab/>
      </w:r>
      <w:r w:rsidR="00816E05">
        <w:rPr>
          <w:w w:val="90"/>
        </w:rPr>
        <w:t>CAREER STAGE:  ECR / NON-ECR</w:t>
      </w:r>
      <w:r>
        <w:rPr>
          <w:w w:val="90"/>
        </w:rPr>
        <w:br/>
      </w:r>
      <w:r w:rsidRPr="00816E05">
        <w:rPr>
          <w:rFonts w:ascii="Calibri Light" w:hAnsi="Calibri Light"/>
          <w:w w:val="90"/>
        </w:rPr>
        <w:t>(delete those not applicable to you)</w: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09F8F942" w14:textId="77777777" w:rsidR="007C19DB" w:rsidRDefault="00D275DF" w:rsidP="007C19DB">
      <w:pPr>
        <w:spacing w:after="0" w:line="320" w:lineRule="exact"/>
        <w:rPr>
          <w:w w:val="90"/>
        </w:rPr>
      </w:pPr>
      <w:r w:rsidRPr="00D275DF">
        <w:rPr>
          <w:w w:val="90"/>
        </w:rPr>
        <w:t xml:space="preserve">* </w:t>
      </w:r>
      <w:r w:rsidR="00CB5D49" w:rsidRPr="00D275DF">
        <w:rPr>
          <w:w w:val="90"/>
        </w:rPr>
        <w:t>Email (presenting author) – overtype</w:t>
      </w:r>
    </w:p>
    <w:p w14:paraId="4D64C48D" w14:textId="7D0080E2" w:rsidR="00FC646B" w:rsidRPr="00D275DF" w:rsidRDefault="00FC646B" w:rsidP="00FC646B">
      <w:pPr>
        <w:tabs>
          <w:tab w:val="left" w:pos="284"/>
        </w:tabs>
        <w:spacing w:after="0" w:line="320" w:lineRule="exact"/>
        <w:rPr>
          <w:w w:val="90"/>
        </w:rPr>
      </w:pPr>
      <w:r>
        <w:rPr>
          <w:rFonts w:ascii="Open Sans" w:hAnsi="Open Sans"/>
          <w:w w:val="90"/>
          <w:sz w:val="16"/>
          <w:szCs w:val="16"/>
        </w:rPr>
        <w:t xml:space="preserve"> </w:t>
      </w:r>
      <w:r w:rsidRPr="007A1A96">
        <w:rPr>
          <w:noProof/>
          <w:lang w:val="en-US"/>
        </w:rPr>
        <w:drawing>
          <wp:inline distT="0" distB="0" distL="0" distR="0" wp14:anchorId="2DD53E93" wp14:editId="68CE4FB6">
            <wp:extent cx="114935" cy="114935"/>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35" cy="114935"/>
                    </a:xfrm>
                    <a:prstGeom prst="rect">
                      <a:avLst/>
                    </a:prstGeom>
                  </pic:spPr>
                </pic:pic>
              </a:graphicData>
            </a:graphic>
          </wp:inline>
        </w:drawing>
      </w:r>
      <w:r>
        <w:rPr>
          <w:rFonts w:ascii="Open Sans" w:hAnsi="Open Sans"/>
          <w:w w:val="90"/>
          <w:sz w:val="16"/>
          <w:szCs w:val="16"/>
        </w:rPr>
        <w:t xml:space="preserve"> </w:t>
      </w:r>
      <w:r>
        <w:rPr>
          <w:w w:val="90"/>
        </w:rPr>
        <w:t xml:space="preserve">Twitter handle (presenting author – personal accounts only) </w:t>
      </w:r>
      <w:r w:rsidRPr="00D275DF">
        <w:rPr>
          <w:w w:val="90"/>
        </w:rPr>
        <w:t>– overtype</w:t>
      </w:r>
    </w:p>
    <w:p w14:paraId="2CEF8BA7" w14:textId="77777777" w:rsidR="00D223E4" w:rsidRPr="00043884" w:rsidRDefault="00D223E4" w:rsidP="00D223E4">
      <w:pPr>
        <w:spacing w:after="0" w:line="320" w:lineRule="exact"/>
        <w:rPr>
          <w:w w:val="90"/>
        </w:rPr>
      </w:pPr>
    </w:p>
    <w:p w14:paraId="7CCD456E" w14:textId="77777777" w:rsidR="00137229" w:rsidRDefault="00D223E4" w:rsidP="00D223E4">
      <w:pPr>
        <w:spacing w:after="0" w:line="320" w:lineRule="exact"/>
        <w:rPr>
          <w:w w:val="90"/>
        </w:rPr>
      </w:pPr>
      <w:r w:rsidRPr="00137229">
        <w:rPr>
          <w:b/>
          <w:w w:val="90"/>
        </w:rPr>
        <w:t>Abstract</w:t>
      </w:r>
      <w:r>
        <w:rPr>
          <w:w w:val="90"/>
        </w:rPr>
        <w:t xml:space="preserve"> </w:t>
      </w:r>
    </w:p>
    <w:p w14:paraId="69ED7CE7" w14:textId="77777777" w:rsidR="00D223E4" w:rsidRPr="00043884" w:rsidRDefault="00D223E4" w:rsidP="00D223E4">
      <w:pPr>
        <w:spacing w:after="0" w:line="320" w:lineRule="exact"/>
        <w:rPr>
          <w:w w:val="90"/>
        </w:rPr>
      </w:pPr>
      <w:r>
        <w:rPr>
          <w:w w:val="90"/>
        </w:rPr>
        <w:t>(</w:t>
      </w:r>
      <w:r w:rsidR="00137229">
        <w:rPr>
          <w:w w:val="90"/>
        </w:rPr>
        <w:t>max. 300</w:t>
      </w:r>
      <w:r>
        <w:rPr>
          <w:w w:val="90"/>
        </w:rPr>
        <w:t xml:space="preserve"> words) </w:t>
      </w:r>
      <w:r w:rsidR="00137229">
        <w:rPr>
          <w:w w:val="90"/>
        </w:rPr>
        <w:t xml:space="preserve">– </w:t>
      </w:r>
      <w:r>
        <w:rPr>
          <w:w w:val="90"/>
        </w:rPr>
        <w:t>overtype</w:t>
      </w:r>
      <w:r w:rsidRPr="00043884">
        <w:rPr>
          <w:w w:val="90"/>
        </w:rPr>
        <w:t>.</w:t>
      </w:r>
      <w:bookmarkStart w:id="0" w:name="_GoBack"/>
      <w:bookmarkEnd w:id="0"/>
    </w:p>
    <w:p w14:paraId="56DD9224" w14:textId="77777777" w:rsidR="00D223E4" w:rsidRPr="00043884" w:rsidRDefault="00D223E4" w:rsidP="00D223E4">
      <w:pPr>
        <w:spacing w:after="0" w:line="320" w:lineRule="exact"/>
        <w:rPr>
          <w:w w:val="90"/>
        </w:rPr>
      </w:pPr>
    </w:p>
    <w:p w14:paraId="0D3C6252" w14:textId="77777777" w:rsidR="00137229" w:rsidRDefault="00D223E4" w:rsidP="00D223E4">
      <w:pPr>
        <w:spacing w:after="0" w:line="320" w:lineRule="exact"/>
        <w:rPr>
          <w:w w:val="90"/>
        </w:rPr>
      </w:pPr>
      <w:r>
        <w:rPr>
          <w:b/>
          <w:w w:val="90"/>
        </w:rPr>
        <w:t>Author bio</w:t>
      </w:r>
      <w:r w:rsidRPr="00043884">
        <w:rPr>
          <w:w w:val="90"/>
        </w:rPr>
        <w:t xml:space="preserve"> </w:t>
      </w:r>
    </w:p>
    <w:p w14:paraId="6094A533" w14:textId="77777777" w:rsidR="00D223E4" w:rsidRPr="00043884" w:rsidRDefault="00D223E4" w:rsidP="00D223E4">
      <w:pPr>
        <w:spacing w:after="0" w:line="320" w:lineRule="exact"/>
        <w:rPr>
          <w:w w:val="90"/>
        </w:rPr>
      </w:pPr>
      <w:r>
        <w:rPr>
          <w:w w:val="90"/>
        </w:rPr>
        <w:t>(</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FC646B">
      <w:pPr>
        <w:rPr>
          <w:w w:val="90"/>
        </w:rPr>
      </w:pPr>
      <w:r>
        <w:rPr>
          <w:w w:val="90"/>
        </w:rPr>
        <w:pict w14:anchorId="25F3D224">
          <v:shape id="_x0000_i1027" type="#_x0000_t75" style="width:481.55pt;height:1.55pt" o:hrpct="0" o:hr="t">
            <v:imagedata r:id="rId5" o:title="Default Line"/>
          </v:shape>
        </w:pict>
      </w:r>
    </w:p>
    <w:p w14:paraId="11BF95A5" w14:textId="77777777" w:rsidR="00D223E4" w:rsidRDefault="00D223E4">
      <w:pPr>
        <w:rPr>
          <w:w w:val="90"/>
        </w:rPr>
      </w:pPr>
      <w:r>
        <w:rPr>
          <w:w w:val="90"/>
        </w:rPr>
        <w:t>EXAMPLE</w:t>
      </w:r>
    </w:p>
    <w:p w14:paraId="7DDCA3D8" w14:textId="766B46C0" w:rsidR="008366EF" w:rsidRDefault="008366EF">
      <w:pPr>
        <w:rPr>
          <w:w w:val="90"/>
        </w:rPr>
      </w:pPr>
      <w:r>
        <w:rPr>
          <w:w w:val="90"/>
        </w:rPr>
        <w:t>TYPE: ORAL PRESENTATION</w:t>
      </w:r>
      <w:r w:rsidR="00816E05">
        <w:rPr>
          <w:w w:val="90"/>
        </w:rPr>
        <w:tab/>
      </w:r>
      <w:r w:rsidR="00816E05">
        <w:rPr>
          <w:w w:val="90"/>
        </w:rPr>
        <w:tab/>
        <w:t>TYPE: NON-ECR</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lastRenderedPageBreak/>
        <w:t xml:space="preserve">Veronika </w:t>
      </w:r>
      <w:proofErr w:type="spellStart"/>
      <w:r w:rsidRPr="00190C45">
        <w:rPr>
          <w:b/>
          <w:w w:val="90"/>
        </w:rPr>
        <w:t>Braunisch</w:t>
      </w:r>
      <w:proofErr w:type="spellEnd"/>
      <w:r w:rsidRPr="00190C45">
        <w:rPr>
          <w:b/>
          <w:w w:val="90"/>
        </w:rPr>
        <w:t xml:space="preserve">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xml:space="preserve">, </w:t>
      </w:r>
      <w:proofErr w:type="spellStart"/>
      <w:r w:rsidRPr="00190C45">
        <w:rPr>
          <w:b/>
          <w:w w:val="90"/>
        </w:rPr>
        <w:t>Raphaël</w:t>
      </w:r>
      <w:proofErr w:type="spellEnd"/>
      <w:r w:rsidRPr="00190C45">
        <w:rPr>
          <w:b/>
          <w:w w:val="90"/>
        </w:rPr>
        <w:t xml:space="preserve">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1</w:t>
      </w:r>
      <w:r w:rsidR="00D83F6A">
        <w:rPr>
          <w:w w:val="90"/>
          <w:vertAlign w:val="superscript"/>
          <w:lang w:val="en-GB"/>
        </w:rPr>
        <w:t xml:space="preserve"> </w:t>
      </w:r>
      <w:r w:rsidRPr="00190C45">
        <w:rPr>
          <w:w w:val="90"/>
          <w:lang w:val="en-GB"/>
        </w:rPr>
        <w:t xml:space="preserve">Conservation Biology, Institute of Ecology and Evolution, University of Bern, </w:t>
      </w:r>
      <w:proofErr w:type="spellStart"/>
      <w:r w:rsidRPr="00190C45">
        <w:rPr>
          <w:w w:val="90"/>
          <w:lang w:val="en-GB"/>
        </w:rPr>
        <w:t>Baltzerstrasse</w:t>
      </w:r>
      <w:proofErr w:type="spellEnd"/>
      <w:r w:rsidRPr="00190C45">
        <w:rPr>
          <w:w w:val="90"/>
          <w:lang w:val="en-GB"/>
        </w:rPr>
        <w:t xml:space="preserv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2</w:t>
      </w:r>
      <w:r w:rsidR="00D83F6A">
        <w:rPr>
          <w:w w:val="90"/>
          <w:vertAlign w:val="superscript"/>
          <w:lang w:val="en-GB"/>
        </w:rPr>
        <w:t xml:space="preserve"> </w:t>
      </w:r>
      <w:r w:rsidRPr="00190C45">
        <w:rPr>
          <w:w w:val="90"/>
          <w:lang w:val="en-GB"/>
        </w:rPr>
        <w:t xml:space="preserve">Forest Research Institute of Baden-Württemberg FVA, </w:t>
      </w:r>
      <w:proofErr w:type="spellStart"/>
      <w:r w:rsidRPr="00190C45">
        <w:rPr>
          <w:w w:val="90"/>
          <w:lang w:val="en-GB"/>
        </w:rPr>
        <w:t>Wonnhaldestr</w:t>
      </w:r>
      <w:proofErr w:type="spellEnd"/>
      <w:r w:rsidRPr="00190C45">
        <w:rPr>
          <w:w w:val="90"/>
          <w:lang w:val="en-GB"/>
        </w:rPr>
        <w:t>.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 xml:space="preserve">Swiss Federal Institute for Forest, Snow and Landscape Research WSL, </w:t>
      </w:r>
      <w:proofErr w:type="spellStart"/>
      <w:r w:rsidRPr="00190C45">
        <w:rPr>
          <w:w w:val="90"/>
          <w:lang w:val="en-GB"/>
        </w:rPr>
        <w:t>Zürcherstrasse</w:t>
      </w:r>
      <w:proofErr w:type="spellEnd"/>
      <w:r w:rsidRPr="00190C45">
        <w:rPr>
          <w:w w:val="90"/>
          <w:lang w:val="en-GB"/>
        </w:rPr>
        <w:t xml:space="preserve"> 111, CH–8903 </w:t>
      </w:r>
      <w:proofErr w:type="spellStart"/>
      <w:r w:rsidRPr="00190C45">
        <w:rPr>
          <w:w w:val="90"/>
          <w:lang w:val="en-GB"/>
        </w:rPr>
        <w:t>Birmensdorf</w:t>
      </w:r>
      <w:proofErr w:type="spellEnd"/>
      <w:r w:rsidRPr="00190C45">
        <w:rPr>
          <w:w w:val="90"/>
          <w:lang w:val="en-GB"/>
        </w:rPr>
        <w:t>,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77777777" w:rsidR="00D275DF" w:rsidRPr="00D275DF" w:rsidRDefault="00D275DF" w:rsidP="00D223E4">
      <w:pPr>
        <w:spacing w:after="0" w:line="320" w:lineRule="exact"/>
        <w:rPr>
          <w:rFonts w:eastAsiaTheme="minorHAnsi" w:cs="OpenSans"/>
          <w:szCs w:val="16"/>
          <w:lang w:val="en-US"/>
        </w:rPr>
      </w:pPr>
      <w:r>
        <w:rPr>
          <w:w w:val="90"/>
          <w:lang w:val="en-GB"/>
        </w:rPr>
        <w:t xml:space="preserve">* </w:t>
      </w:r>
      <w:r w:rsidRPr="00D275DF">
        <w:rPr>
          <w:w w:val="90"/>
          <w:lang w:val="en-GB"/>
        </w:rPr>
        <w:t xml:space="preserve">Email: </w:t>
      </w:r>
      <w:r w:rsidRPr="00D275DF">
        <w:rPr>
          <w:rFonts w:eastAsiaTheme="minorHAnsi" w:cs="OpenSans"/>
          <w:szCs w:val="16"/>
          <w:lang w:val="en-US"/>
        </w:rPr>
        <w:t>veronika.braunisch@iee.unibe.ch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 xml:space="preserve">We tested this hypothesis using four mountain bird species of conservation concern, </w:t>
      </w:r>
      <w:proofErr w:type="spellStart"/>
      <w:r w:rsidRPr="00190C45">
        <w:rPr>
          <w:w w:val="90"/>
          <w:lang w:val="en-GB"/>
        </w:rPr>
        <w:t>Capercaillie</w:t>
      </w:r>
      <w:proofErr w:type="spellEnd"/>
      <w:r w:rsidRPr="00190C45">
        <w:rPr>
          <w:w w:val="90"/>
          <w:lang w:val="en-GB"/>
        </w:rPr>
        <w:t xml:space="preserve"> (</w:t>
      </w:r>
      <w:proofErr w:type="spellStart"/>
      <w:r w:rsidRPr="00190C45">
        <w:rPr>
          <w:i/>
          <w:w w:val="90"/>
          <w:lang w:val="en-GB"/>
        </w:rPr>
        <w:t>Tetrao</w:t>
      </w:r>
      <w:proofErr w:type="spellEnd"/>
      <w:r w:rsidRPr="00190C45">
        <w:rPr>
          <w:i/>
          <w:w w:val="90"/>
          <w:lang w:val="en-GB"/>
        </w:rPr>
        <w:t xml:space="preserve"> </w:t>
      </w:r>
      <w:proofErr w:type="spellStart"/>
      <w:r w:rsidRPr="00190C45">
        <w:rPr>
          <w:i/>
          <w:w w:val="90"/>
          <w:lang w:val="en-GB"/>
        </w:rPr>
        <w:t>urogallus</w:t>
      </w:r>
      <w:proofErr w:type="spellEnd"/>
      <w:r w:rsidRPr="00190C45">
        <w:rPr>
          <w:w w:val="90"/>
          <w:lang w:val="en-GB"/>
        </w:rPr>
        <w:t>), Hazel Grouse (</w:t>
      </w:r>
      <w:proofErr w:type="spellStart"/>
      <w:r w:rsidRPr="00190C45">
        <w:rPr>
          <w:i/>
          <w:w w:val="90"/>
          <w:lang w:val="en-GB"/>
        </w:rPr>
        <w:t>Bonasa</w:t>
      </w:r>
      <w:proofErr w:type="spellEnd"/>
      <w:r w:rsidRPr="00190C45">
        <w:rPr>
          <w:i/>
          <w:w w:val="90"/>
          <w:lang w:val="en-GB"/>
        </w:rPr>
        <w:t xml:space="preserve"> </w:t>
      </w:r>
      <w:proofErr w:type="spellStart"/>
      <w:r w:rsidRPr="00190C45">
        <w:rPr>
          <w:i/>
          <w:w w:val="90"/>
          <w:lang w:val="en-GB"/>
        </w:rPr>
        <w:t>bonasia</w:t>
      </w:r>
      <w:proofErr w:type="spellEnd"/>
      <w:r w:rsidRPr="00190C45">
        <w:rPr>
          <w:w w:val="90"/>
          <w:lang w:val="en-GB"/>
        </w:rPr>
        <w:t>), Pygmy Owl (</w:t>
      </w:r>
      <w:proofErr w:type="spellStart"/>
      <w:r w:rsidRPr="00190C45">
        <w:rPr>
          <w:i/>
          <w:w w:val="90"/>
          <w:lang w:val="en-GB"/>
        </w:rPr>
        <w:t>Glaucidium</w:t>
      </w:r>
      <w:proofErr w:type="spellEnd"/>
      <w:r w:rsidRPr="00190C45">
        <w:rPr>
          <w:i/>
          <w:w w:val="90"/>
          <w:lang w:val="en-GB"/>
        </w:rPr>
        <w:t xml:space="preserve"> </w:t>
      </w:r>
      <w:proofErr w:type="spellStart"/>
      <w:r w:rsidRPr="00190C45">
        <w:rPr>
          <w:i/>
          <w:w w:val="90"/>
          <w:lang w:val="en-GB"/>
        </w:rPr>
        <w:t>passerinum</w:t>
      </w:r>
      <w:proofErr w:type="spellEnd"/>
      <w:r w:rsidRPr="00190C45">
        <w:rPr>
          <w:w w:val="90"/>
          <w:lang w:val="en-GB"/>
        </w:rPr>
        <w:t>) and Three-toed Woodpecker (</w:t>
      </w:r>
      <w:proofErr w:type="spellStart"/>
      <w:r w:rsidRPr="00190C45">
        <w:rPr>
          <w:i/>
          <w:w w:val="90"/>
          <w:lang w:val="en-GB"/>
        </w:rPr>
        <w:t>Picoides</w:t>
      </w:r>
      <w:proofErr w:type="spellEnd"/>
      <w:r w:rsidRPr="00190C45">
        <w:rPr>
          <w:i/>
          <w:w w:val="90"/>
          <w:lang w:val="en-GB"/>
        </w:rPr>
        <w:t xml:space="preserve"> </w:t>
      </w:r>
      <w:proofErr w:type="spellStart"/>
      <w:r w:rsidRPr="00190C45">
        <w:rPr>
          <w:i/>
          <w:w w:val="90"/>
          <w:lang w:val="en-GB"/>
        </w:rPr>
        <w:t>tridactylus</w:t>
      </w:r>
      <w:proofErr w:type="spellEnd"/>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 xml:space="preserve">Veronika </w:t>
      </w:r>
      <w:proofErr w:type="spellStart"/>
      <w:r w:rsidRPr="00190C45">
        <w:rPr>
          <w:b/>
          <w:w w:val="90"/>
          <w:lang w:val="en-GB"/>
        </w:rPr>
        <w:t>Braunisch</w:t>
      </w:r>
      <w:proofErr w:type="spellEnd"/>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FC646B"/>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Open Sans">
    <w:panose1 w:val="020B0606030504020204"/>
    <w:charset w:val="00"/>
    <w:family w:val="auto"/>
    <w:pitch w:val="variable"/>
    <w:sig w:usb0="E00002EF" w:usb1="4000205B" w:usb2="00000028" w:usb3="00000000" w:csb0="000001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4"/>
    <w:rsid w:val="001306CF"/>
    <w:rsid w:val="00137229"/>
    <w:rsid w:val="003C47E0"/>
    <w:rsid w:val="00403A20"/>
    <w:rsid w:val="00404B02"/>
    <w:rsid w:val="004910BF"/>
    <w:rsid w:val="005D3EBF"/>
    <w:rsid w:val="00646DEA"/>
    <w:rsid w:val="006D7BA3"/>
    <w:rsid w:val="007C19DB"/>
    <w:rsid w:val="00816E05"/>
    <w:rsid w:val="008366EF"/>
    <w:rsid w:val="00862780"/>
    <w:rsid w:val="008A738B"/>
    <w:rsid w:val="00955745"/>
    <w:rsid w:val="00A26AE0"/>
    <w:rsid w:val="00C5472E"/>
    <w:rsid w:val="00CB5D49"/>
    <w:rsid w:val="00D223E4"/>
    <w:rsid w:val="00D275DF"/>
    <w:rsid w:val="00D64819"/>
    <w:rsid w:val="00D83F6A"/>
    <w:rsid w:val="00E32D96"/>
    <w:rsid w:val="00FC646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gif"/><Relationship Id="rId6" Type="http://schemas.openxmlformats.org/officeDocument/2006/relationships/hyperlink" Target="mailto:stevedudley@bou.org.uk" TargetMode="External"/><Relationship Id="rId7" Type="http://schemas.openxmlformats.org/officeDocument/2006/relationships/image" Target="media/image3.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3643</Characters>
  <Application>Microsoft Macintosh Word</Application>
  <DocSecurity>0</DocSecurity>
  <Lines>30</Lines>
  <Paragraphs>8</Paragraphs>
  <ScaleCrop>false</ScaleCrop>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Steve Dudley</cp:lastModifiedBy>
  <cp:revision>8</cp:revision>
  <dcterms:created xsi:type="dcterms:W3CDTF">2018-05-18T10:15:00Z</dcterms:created>
  <dcterms:modified xsi:type="dcterms:W3CDTF">2018-05-29T08:29:00Z</dcterms:modified>
</cp:coreProperties>
</file>